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05" w:rsidRDefault="009B5505" w:rsidP="009B5505">
      <w:pPr>
        <w:jc w:val="center"/>
        <w:rPr>
          <w:rFonts w:ascii="Times New Roman" w:eastAsia="Times New Roman" w:hAnsi="Times New Roman"/>
          <w:color w:val="000000"/>
          <w:sz w:val="24"/>
          <w:szCs w:val="24"/>
        </w:rPr>
      </w:pPr>
      <w:r>
        <w:rPr>
          <w:rFonts w:ascii="Cambria" w:eastAsia="Times New Roman" w:hAnsi="Cambria"/>
          <w:bCs/>
          <w:color w:val="000000"/>
          <w:sz w:val="24"/>
          <w:szCs w:val="24"/>
        </w:rPr>
        <w:t>GROVE CITY COUNCIL</w:t>
      </w:r>
    </w:p>
    <w:p w:rsidR="009B5505" w:rsidRDefault="009B5505" w:rsidP="009B5505">
      <w:pPr>
        <w:jc w:val="center"/>
        <w:rPr>
          <w:rFonts w:ascii="Times New Roman" w:eastAsia="Times New Roman" w:hAnsi="Times New Roman"/>
          <w:color w:val="000000"/>
          <w:sz w:val="24"/>
          <w:szCs w:val="24"/>
        </w:rPr>
      </w:pPr>
      <w:r>
        <w:rPr>
          <w:rFonts w:ascii="Cambria" w:eastAsia="Times New Roman" w:hAnsi="Cambria"/>
          <w:bCs/>
          <w:color w:val="000000"/>
          <w:sz w:val="24"/>
          <w:szCs w:val="24"/>
        </w:rPr>
        <w:t>REGULAR MEETING</w:t>
      </w:r>
    </w:p>
    <w:p w:rsidR="009B5505" w:rsidRDefault="009B5505" w:rsidP="009B5505">
      <w:pPr>
        <w:jc w:val="center"/>
        <w:rPr>
          <w:rFonts w:ascii="Times New Roman" w:eastAsia="Times New Roman" w:hAnsi="Times New Roman"/>
          <w:color w:val="000000"/>
          <w:sz w:val="24"/>
          <w:szCs w:val="24"/>
        </w:rPr>
      </w:pPr>
      <w:r>
        <w:rPr>
          <w:rFonts w:ascii="Cambria" w:eastAsia="Times New Roman" w:hAnsi="Cambria"/>
          <w:bCs/>
          <w:color w:val="000000"/>
          <w:sz w:val="24"/>
          <w:szCs w:val="24"/>
        </w:rPr>
        <w:t>TUESDAY, FEBRUARY 18, 2014</w:t>
      </w:r>
    </w:p>
    <w:p w:rsidR="009B5505" w:rsidRDefault="009B5505" w:rsidP="009B5505">
      <w:pPr>
        <w:jc w:val="center"/>
        <w:rPr>
          <w:rFonts w:ascii="Times New Roman" w:eastAsia="Times New Roman" w:hAnsi="Times New Roman"/>
          <w:color w:val="000000"/>
          <w:sz w:val="24"/>
          <w:szCs w:val="24"/>
        </w:rPr>
      </w:pPr>
      <w:r>
        <w:rPr>
          <w:rFonts w:ascii="Cambria" w:eastAsia="Times New Roman" w:hAnsi="Cambria"/>
          <w:bCs/>
          <w:color w:val="000000"/>
          <w:sz w:val="24"/>
          <w:szCs w:val="24"/>
        </w:rPr>
        <w:t>6:00 PM</w:t>
      </w:r>
    </w:p>
    <w:p w:rsidR="009B5505" w:rsidRDefault="009B5505" w:rsidP="009B5505">
      <w:pPr>
        <w:jc w:val="center"/>
        <w:rPr>
          <w:rFonts w:ascii="Times New Roman" w:eastAsia="Times New Roman" w:hAnsi="Times New Roman"/>
          <w:color w:val="000000"/>
          <w:sz w:val="24"/>
          <w:szCs w:val="24"/>
        </w:rPr>
      </w:pPr>
      <w:r>
        <w:rPr>
          <w:rFonts w:ascii="Cambria" w:eastAsia="Times New Roman" w:hAnsi="Cambria"/>
          <w:bCs/>
          <w:color w:val="000000"/>
          <w:sz w:val="24"/>
          <w:szCs w:val="24"/>
        </w:rPr>
        <w:t>ROOM 5 – GROVE COMMUNITY CENTER</w:t>
      </w:r>
    </w:p>
    <w:p w:rsidR="009B5505" w:rsidRDefault="009B5505" w:rsidP="009B5505">
      <w:pPr>
        <w:jc w:val="center"/>
        <w:rPr>
          <w:rFonts w:ascii="Times New Roman" w:eastAsia="Times New Roman" w:hAnsi="Times New Roman"/>
          <w:color w:val="000000"/>
          <w:sz w:val="24"/>
          <w:szCs w:val="24"/>
        </w:rPr>
      </w:pPr>
      <w:r>
        <w:rPr>
          <w:rFonts w:ascii="Cambria" w:eastAsia="Times New Roman" w:hAnsi="Cambria"/>
          <w:bCs/>
          <w:color w:val="000000"/>
          <w:sz w:val="24"/>
          <w:szCs w:val="24"/>
        </w:rPr>
        <w:t>104 WEST THIRD STREET – GROVE, OK 74344</w:t>
      </w:r>
    </w:p>
    <w:p w:rsidR="009B5505" w:rsidRDefault="009B5505" w:rsidP="009B5505">
      <w:pPr>
        <w:rPr>
          <w:rFonts w:ascii="Cambria" w:eastAsia="Times New Roman" w:hAnsi="Cambria"/>
          <w:bCs/>
          <w:color w:val="000000"/>
          <w:sz w:val="24"/>
          <w:szCs w:val="24"/>
        </w:rPr>
      </w:pPr>
      <w:r>
        <w:rPr>
          <w:rFonts w:ascii="Cambria" w:eastAsia="Times New Roman" w:hAnsi="Cambria"/>
          <w:bCs/>
          <w:color w:val="000000"/>
          <w:sz w:val="24"/>
          <w:szCs w:val="24"/>
        </w:rPr>
        <w:t> </w:t>
      </w:r>
    </w:p>
    <w:p w:rsidR="009B5505" w:rsidRDefault="009B5505" w:rsidP="009B5505">
      <w:pPr>
        <w:rPr>
          <w:rFonts w:ascii="Times New Roman" w:eastAsia="Times New Roman" w:hAnsi="Times New Roman"/>
          <w:color w:val="000000"/>
          <w:sz w:val="24"/>
          <w:szCs w:val="24"/>
        </w:rPr>
      </w:pPr>
    </w:p>
    <w:p w:rsidR="009B5505" w:rsidRDefault="009B5505" w:rsidP="009B5505">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Invocation</w:t>
      </w:r>
    </w:p>
    <w:p w:rsidR="009B5505" w:rsidRDefault="009B5505" w:rsidP="009B5505">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Pledge Of Allegiance</w:t>
      </w:r>
    </w:p>
    <w:p w:rsidR="009B5505" w:rsidRDefault="009B5505" w:rsidP="009B5505">
      <w:pPr>
        <w:ind w:left="720" w:hanging="360"/>
        <w:jc w:val="both"/>
        <w:rPr>
          <w:rFonts w:ascii="Cambria" w:eastAsia="Times New Roman" w:hAnsi="Cambria"/>
          <w:bCs/>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 xml:space="preserve">Call Meeting </w:t>
      </w:r>
      <w:proofErr w:type="gramStart"/>
      <w:r>
        <w:rPr>
          <w:rFonts w:ascii="Cambria" w:eastAsia="Times New Roman" w:hAnsi="Cambria"/>
          <w:bCs/>
          <w:color w:val="000000"/>
          <w:sz w:val="24"/>
          <w:szCs w:val="24"/>
        </w:rPr>
        <w:t>To</w:t>
      </w:r>
      <w:proofErr w:type="gramEnd"/>
      <w:r>
        <w:rPr>
          <w:rFonts w:ascii="Cambria" w:eastAsia="Times New Roman" w:hAnsi="Cambria"/>
          <w:bCs/>
          <w:color w:val="000000"/>
          <w:sz w:val="24"/>
          <w:szCs w:val="24"/>
        </w:rPr>
        <w:t xml:space="preserve"> Order</w:t>
      </w:r>
    </w:p>
    <w:p w:rsidR="009B5505" w:rsidRDefault="009B5505" w:rsidP="009B5505">
      <w:pPr>
        <w:ind w:left="720" w:hanging="360"/>
        <w:jc w:val="both"/>
        <w:rPr>
          <w:rFonts w:eastAsia="Times New Roman"/>
          <w:color w:val="000000"/>
          <w:sz w:val="24"/>
          <w:szCs w:val="24"/>
        </w:rPr>
      </w:pPr>
      <w:r>
        <w:rPr>
          <w:rFonts w:ascii="Symbol" w:eastAsia="Times New Roman" w:hAnsi="Symbol"/>
          <w:bCs/>
          <w:color w:val="000000"/>
          <w:sz w:val="24"/>
          <w:szCs w:val="24"/>
        </w:rPr>
        <w:t></w:t>
      </w:r>
      <w:r>
        <w:rPr>
          <w:rFonts w:ascii="Times New Roman" w:eastAsia="Times New Roman" w:hAnsi="Times New Roman"/>
          <w:bCs/>
          <w:color w:val="000000"/>
          <w:sz w:val="14"/>
        </w:rPr>
        <w:t xml:space="preserve">         </w:t>
      </w:r>
      <w:r>
        <w:rPr>
          <w:rFonts w:ascii="Cambria" w:eastAsia="Times New Roman" w:hAnsi="Cambria"/>
          <w:bCs/>
          <w:color w:val="000000"/>
          <w:sz w:val="24"/>
          <w:szCs w:val="24"/>
        </w:rPr>
        <w:t>Roll Call</w:t>
      </w:r>
    </w:p>
    <w:p w:rsidR="009B5505" w:rsidRDefault="009B5505" w:rsidP="009B5505">
      <w:pPr>
        <w:pStyle w:val="ListParagraph"/>
        <w:numPr>
          <w:ilvl w:val="0"/>
          <w:numId w:val="1"/>
        </w:numPr>
        <w:jc w:val="both"/>
        <w:rPr>
          <w:rFonts w:ascii="Cambria" w:eastAsia="Times New Roman" w:hAnsi="Cambria"/>
          <w:bCs/>
          <w:color w:val="000000"/>
          <w:sz w:val="24"/>
          <w:szCs w:val="24"/>
        </w:rPr>
      </w:pPr>
      <w:r>
        <w:rPr>
          <w:rFonts w:ascii="Cambria" w:eastAsia="Times New Roman" w:hAnsi="Cambria"/>
          <w:bCs/>
          <w:color w:val="000000"/>
          <w:sz w:val="24"/>
          <w:szCs w:val="24"/>
        </w:rPr>
        <w:t>Public Comments</w:t>
      </w:r>
    </w:p>
    <w:p w:rsidR="009B5505" w:rsidRDefault="009B5505" w:rsidP="009B5505">
      <w:pPr>
        <w:ind w:left="720" w:hanging="360"/>
        <w:jc w:val="both"/>
        <w:rPr>
          <w:rFonts w:eastAsia="Times New Roman"/>
          <w:color w:val="000000"/>
          <w:sz w:val="24"/>
          <w:szCs w:val="24"/>
        </w:rPr>
      </w:pPr>
      <w:r>
        <w:rPr>
          <w:rFonts w:ascii="Cambria" w:eastAsia="Times New Roman" w:hAnsi="Cambria"/>
          <w:bCs/>
          <w:color w:val="000000"/>
          <w:sz w:val="24"/>
          <w:szCs w:val="24"/>
        </w:rPr>
        <w:t>B.</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Agenda Items</w:t>
      </w:r>
    </w:p>
    <w:p w:rsidR="009B5505" w:rsidRDefault="009B5505" w:rsidP="009B5505">
      <w:pPr>
        <w:pStyle w:val="ListParagraph"/>
        <w:numPr>
          <w:ilvl w:val="0"/>
          <w:numId w:val="2"/>
        </w:numPr>
        <w:jc w:val="both"/>
        <w:rPr>
          <w:rFonts w:eastAsia="Times New Roman"/>
          <w:color w:val="000000"/>
          <w:sz w:val="24"/>
          <w:szCs w:val="24"/>
        </w:rPr>
      </w:pPr>
      <w:r>
        <w:rPr>
          <w:rFonts w:ascii="Cambria" w:eastAsia="Times New Roman" w:hAnsi="Cambria"/>
          <w:bCs/>
          <w:color w:val="000000"/>
          <w:sz w:val="24"/>
          <w:szCs w:val="24"/>
        </w:rPr>
        <w:t>Discussion And / Or Action With Respect to Approval of Minutes of the Previous Meeting.</w:t>
      </w:r>
    </w:p>
    <w:p w:rsidR="009B5505" w:rsidRDefault="009B5505" w:rsidP="009B5505">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 Or Action With Respect to Approval of the Purchase Order Register.</w:t>
      </w:r>
    </w:p>
    <w:p w:rsidR="009B5505" w:rsidRDefault="009B5505" w:rsidP="009B5505">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Or Action With Respect to the Approval of the Wireless 911 Service Agreement with the Delaware County Commission; Grand Gateway Economic Development Authority; and the Delaware County E-911 Trust Authority.</w:t>
      </w:r>
    </w:p>
    <w:p w:rsidR="009B5505" w:rsidRDefault="009B5505" w:rsidP="009B5505">
      <w:pPr>
        <w:pStyle w:val="ListParagraph"/>
        <w:numPr>
          <w:ilvl w:val="0"/>
          <w:numId w:val="2"/>
        </w:numPr>
        <w:jc w:val="both"/>
        <w:rPr>
          <w:rFonts w:ascii="Cambria" w:eastAsia="Times New Roman" w:hAnsi="Cambria"/>
          <w:bCs/>
          <w:color w:val="000000"/>
          <w:sz w:val="24"/>
          <w:szCs w:val="24"/>
        </w:rPr>
      </w:pPr>
      <w:r>
        <w:rPr>
          <w:rFonts w:ascii="Cambria" w:eastAsia="Times New Roman" w:hAnsi="Cambria"/>
          <w:bCs/>
          <w:color w:val="000000"/>
          <w:sz w:val="24"/>
          <w:szCs w:val="24"/>
        </w:rPr>
        <w:t>Discussion And/ Or Action with Respect to Granting Extensions to Complete Provisions of Administrative Orders Pertaining to Dilapidated Structures located at the following locations:</w:t>
      </w:r>
    </w:p>
    <w:p w:rsidR="009B5505" w:rsidRDefault="009B5505" w:rsidP="009B5505">
      <w:pPr>
        <w:jc w:val="both"/>
        <w:rPr>
          <w:rFonts w:ascii="Cambria" w:eastAsia="Times New Roman" w:hAnsi="Cambria"/>
          <w:bCs/>
          <w:color w:val="000000"/>
          <w:sz w:val="24"/>
          <w:szCs w:val="24"/>
        </w:rPr>
      </w:pPr>
      <w:r>
        <w:rPr>
          <w:rFonts w:ascii="Cambria" w:eastAsia="Times New Roman" w:hAnsi="Cambria"/>
          <w:bCs/>
          <w:color w:val="000000"/>
          <w:sz w:val="24"/>
          <w:szCs w:val="24"/>
        </w:rPr>
        <w:tab/>
      </w:r>
      <w:r>
        <w:rPr>
          <w:rFonts w:ascii="Cambria" w:eastAsia="Times New Roman" w:hAnsi="Cambria"/>
          <w:bCs/>
          <w:color w:val="000000"/>
          <w:sz w:val="24"/>
          <w:szCs w:val="24"/>
        </w:rPr>
        <w:tab/>
        <w:t>A. 103. N. Main Street owned by Steve Bratcher.</w:t>
      </w:r>
    </w:p>
    <w:p w:rsidR="009B5505" w:rsidRDefault="009B5505" w:rsidP="0071503B">
      <w:pPr>
        <w:ind w:left="1440"/>
        <w:jc w:val="both"/>
        <w:rPr>
          <w:rFonts w:ascii="Cambria" w:eastAsia="Times New Roman" w:hAnsi="Cambria"/>
          <w:bCs/>
          <w:color w:val="000000"/>
          <w:sz w:val="24"/>
          <w:szCs w:val="24"/>
        </w:rPr>
      </w:pPr>
      <w:r>
        <w:rPr>
          <w:rFonts w:ascii="Cambria" w:eastAsia="Times New Roman" w:hAnsi="Cambria"/>
          <w:bCs/>
          <w:color w:val="000000"/>
          <w:sz w:val="24"/>
          <w:szCs w:val="24"/>
        </w:rPr>
        <w:t xml:space="preserve">B. 1107 S. Mill Street owned by Lowell </w:t>
      </w:r>
      <w:proofErr w:type="spellStart"/>
      <w:r>
        <w:rPr>
          <w:rFonts w:ascii="Cambria" w:eastAsia="Times New Roman" w:hAnsi="Cambria"/>
          <w:bCs/>
          <w:color w:val="000000"/>
          <w:sz w:val="24"/>
          <w:szCs w:val="24"/>
        </w:rPr>
        <w:t>Crowl</w:t>
      </w:r>
      <w:proofErr w:type="spellEnd"/>
      <w:r>
        <w:rPr>
          <w:rFonts w:ascii="Cambria" w:eastAsia="Times New Roman" w:hAnsi="Cambria"/>
          <w:bCs/>
          <w:color w:val="000000"/>
          <w:sz w:val="24"/>
          <w:szCs w:val="24"/>
        </w:rPr>
        <w:t>. (formerly ow</w:t>
      </w:r>
      <w:r w:rsidR="0071503B">
        <w:rPr>
          <w:rFonts w:ascii="Cambria" w:eastAsia="Times New Roman" w:hAnsi="Cambria"/>
          <w:bCs/>
          <w:color w:val="000000"/>
          <w:sz w:val="24"/>
          <w:szCs w:val="24"/>
        </w:rPr>
        <w:t>ned by Todd Lee/Bank of</w:t>
      </w:r>
      <w:r>
        <w:rPr>
          <w:rFonts w:ascii="Cambria" w:eastAsia="Times New Roman" w:hAnsi="Cambria"/>
          <w:bCs/>
          <w:color w:val="000000"/>
          <w:sz w:val="24"/>
          <w:szCs w:val="24"/>
        </w:rPr>
        <w:t xml:space="preserve"> Gr</w:t>
      </w:r>
      <w:r w:rsidR="0071503B">
        <w:rPr>
          <w:rFonts w:ascii="Cambria" w:eastAsia="Times New Roman" w:hAnsi="Cambria"/>
          <w:bCs/>
          <w:color w:val="000000"/>
          <w:sz w:val="24"/>
          <w:szCs w:val="24"/>
        </w:rPr>
        <w:t>ove</w:t>
      </w:r>
      <w:r>
        <w:rPr>
          <w:rFonts w:ascii="Cambria" w:eastAsia="Times New Roman" w:hAnsi="Cambria"/>
          <w:bCs/>
          <w:color w:val="000000"/>
          <w:sz w:val="24"/>
          <w:szCs w:val="24"/>
        </w:rPr>
        <w:t>)</w:t>
      </w:r>
    </w:p>
    <w:p w:rsidR="009B5505" w:rsidRDefault="009B5505" w:rsidP="009B5505">
      <w:pPr>
        <w:ind w:firstLine="360"/>
        <w:jc w:val="both"/>
        <w:rPr>
          <w:rFonts w:ascii="Cambria" w:eastAsia="Times New Roman" w:hAnsi="Cambria"/>
          <w:bCs/>
          <w:color w:val="000000"/>
          <w:sz w:val="24"/>
          <w:szCs w:val="24"/>
        </w:rPr>
      </w:pPr>
      <w:r>
        <w:rPr>
          <w:rFonts w:ascii="Cambria" w:eastAsia="Times New Roman" w:hAnsi="Cambria"/>
          <w:bCs/>
          <w:color w:val="000000"/>
          <w:sz w:val="24"/>
          <w:szCs w:val="24"/>
        </w:rPr>
        <w:t>C.</w:t>
      </w:r>
      <w:r>
        <w:rPr>
          <w:rFonts w:ascii="Cambria" w:eastAsia="Times New Roman" w:hAnsi="Cambria"/>
          <w:bCs/>
          <w:color w:val="000000"/>
          <w:sz w:val="24"/>
          <w:szCs w:val="24"/>
        </w:rPr>
        <w:tab/>
        <w:t>City Managers Report</w:t>
      </w:r>
    </w:p>
    <w:p w:rsidR="009B5505" w:rsidRDefault="009B5505" w:rsidP="009B5505">
      <w:pPr>
        <w:pStyle w:val="ListParagraph"/>
        <w:ind w:left="750" w:hanging="390"/>
        <w:jc w:val="both"/>
        <w:rPr>
          <w:rFonts w:ascii="Cambria" w:eastAsia="Times New Roman" w:hAnsi="Cambria"/>
          <w:bCs/>
          <w:color w:val="000000"/>
          <w:sz w:val="24"/>
          <w:szCs w:val="24"/>
        </w:rPr>
      </w:pPr>
      <w:r>
        <w:rPr>
          <w:rFonts w:ascii="Cambria" w:eastAsia="Times New Roman" w:hAnsi="Cambria"/>
          <w:bCs/>
          <w:color w:val="000000"/>
          <w:sz w:val="24"/>
          <w:szCs w:val="24"/>
        </w:rPr>
        <w:t>D.</w:t>
      </w:r>
      <w:r>
        <w:rPr>
          <w:rFonts w:ascii="Cambria" w:eastAsia="Times New Roman" w:hAnsi="Cambria"/>
          <w:bCs/>
          <w:color w:val="000000"/>
          <w:sz w:val="24"/>
          <w:szCs w:val="24"/>
        </w:rPr>
        <w:tab/>
        <w:t>Ward Reports</w:t>
      </w:r>
    </w:p>
    <w:p w:rsidR="009B5505" w:rsidRDefault="009B5505" w:rsidP="009B5505">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1.</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 – Ed Trumbull</w:t>
      </w:r>
    </w:p>
    <w:p w:rsidR="009B5505" w:rsidRDefault="009B5505" w:rsidP="009B5505">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2.</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 – Marty Follis</w:t>
      </w:r>
    </w:p>
    <w:p w:rsidR="009B5505" w:rsidRDefault="009B5505" w:rsidP="009B5505">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3.</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III– Don Nielsen</w:t>
      </w:r>
    </w:p>
    <w:p w:rsidR="009B5505" w:rsidRDefault="009B5505" w:rsidP="009B5505">
      <w:pPr>
        <w:tabs>
          <w:tab w:val="num" w:pos="1080"/>
        </w:tabs>
        <w:ind w:left="1080" w:hanging="360"/>
        <w:jc w:val="both"/>
        <w:rPr>
          <w:rFonts w:eastAsia="Times New Roman"/>
          <w:color w:val="000000"/>
          <w:sz w:val="24"/>
          <w:szCs w:val="24"/>
        </w:rPr>
      </w:pPr>
      <w:r>
        <w:rPr>
          <w:rFonts w:ascii="Cambria" w:eastAsia="Times New Roman" w:hAnsi="Cambria"/>
          <w:bCs/>
          <w:color w:val="000000"/>
          <w:sz w:val="24"/>
          <w:szCs w:val="24"/>
        </w:rPr>
        <w:t>4.</w:t>
      </w:r>
      <w:r>
        <w:rPr>
          <w:rFonts w:ascii="Times New Roman" w:eastAsia="Times New Roman" w:hAnsi="Times New Roman"/>
          <w:bCs/>
          <w:color w:val="000000"/>
          <w:sz w:val="14"/>
        </w:rPr>
        <w:t xml:space="preserve">      </w:t>
      </w:r>
      <w:r>
        <w:rPr>
          <w:rFonts w:ascii="Cambria" w:eastAsia="Times New Roman" w:hAnsi="Cambria"/>
          <w:bCs/>
          <w:color w:val="000000"/>
          <w:sz w:val="24"/>
          <w:szCs w:val="24"/>
        </w:rPr>
        <w:t>Ward IV – Marty Dyer</w:t>
      </w:r>
    </w:p>
    <w:p w:rsidR="009B5505" w:rsidRDefault="009B5505" w:rsidP="009B5505">
      <w:pPr>
        <w:tabs>
          <w:tab w:val="num" w:pos="1080"/>
        </w:tabs>
        <w:ind w:left="1080" w:hanging="360"/>
        <w:jc w:val="both"/>
        <w:rPr>
          <w:rFonts w:ascii="Cambria" w:eastAsia="Times New Roman" w:hAnsi="Cambria"/>
          <w:bCs/>
          <w:color w:val="000000"/>
          <w:sz w:val="24"/>
          <w:szCs w:val="24"/>
        </w:rPr>
      </w:pPr>
      <w:r>
        <w:rPr>
          <w:rFonts w:ascii="Cambria" w:eastAsia="Times New Roman" w:hAnsi="Cambria"/>
          <w:bCs/>
          <w:color w:val="000000"/>
          <w:sz w:val="24"/>
          <w:szCs w:val="24"/>
        </w:rPr>
        <w:t>5.</w:t>
      </w:r>
      <w:r>
        <w:rPr>
          <w:rFonts w:ascii="Times New Roman" w:eastAsia="Times New Roman" w:hAnsi="Times New Roman"/>
          <w:bCs/>
          <w:color w:val="000000"/>
          <w:sz w:val="14"/>
        </w:rPr>
        <w:t xml:space="preserve">      </w:t>
      </w:r>
      <w:r>
        <w:rPr>
          <w:rFonts w:ascii="Cambria" w:eastAsia="Times New Roman" w:hAnsi="Cambria"/>
          <w:bCs/>
          <w:color w:val="000000"/>
          <w:sz w:val="24"/>
          <w:szCs w:val="24"/>
        </w:rPr>
        <w:t>At Large – Ivan Devitt</w:t>
      </w:r>
    </w:p>
    <w:p w:rsidR="009B5505" w:rsidRDefault="009B5505" w:rsidP="009B5505">
      <w:pPr>
        <w:tabs>
          <w:tab w:val="num" w:pos="1080"/>
        </w:tabs>
        <w:ind w:left="360"/>
        <w:jc w:val="both"/>
        <w:rPr>
          <w:rFonts w:ascii="Cambria" w:eastAsia="Times New Roman" w:hAnsi="Cambria"/>
          <w:bCs/>
          <w:color w:val="000000"/>
          <w:sz w:val="24"/>
          <w:szCs w:val="24"/>
        </w:rPr>
      </w:pPr>
      <w:r>
        <w:rPr>
          <w:rFonts w:ascii="Cambria" w:eastAsia="Times New Roman" w:hAnsi="Cambria"/>
          <w:bCs/>
          <w:color w:val="000000"/>
          <w:sz w:val="24"/>
          <w:szCs w:val="24"/>
        </w:rPr>
        <w:t xml:space="preserve">E.   Executive Session </w:t>
      </w:r>
    </w:p>
    <w:p w:rsidR="009B5505" w:rsidRDefault="009B5505" w:rsidP="009B5505">
      <w:pPr>
        <w:tabs>
          <w:tab w:val="num" w:pos="1080"/>
        </w:tabs>
        <w:ind w:left="360"/>
        <w:rPr>
          <w:rFonts w:ascii="Cambria" w:eastAsia="Times New Roman" w:hAnsi="Cambria"/>
          <w:bCs/>
          <w:color w:val="000000"/>
          <w:sz w:val="24"/>
          <w:szCs w:val="24"/>
        </w:rPr>
      </w:pPr>
      <w:r>
        <w:rPr>
          <w:rFonts w:ascii="Cambria" w:eastAsia="Times New Roman" w:hAnsi="Cambria"/>
          <w:bCs/>
          <w:color w:val="000000"/>
          <w:sz w:val="24"/>
          <w:szCs w:val="24"/>
        </w:rPr>
        <w:t xml:space="preserve">      1.  </w:t>
      </w:r>
      <w:r>
        <w:rPr>
          <w:rFonts w:ascii="Cambria" w:eastAsia="Times New Roman" w:hAnsi="Cambria"/>
          <w:bCs/>
          <w:color w:val="000000"/>
          <w:sz w:val="24"/>
          <w:szCs w:val="24"/>
        </w:rPr>
        <w:tab/>
        <w:t xml:space="preserve">Discussion And / Or Action With Respect to an Executive Session for the Purpose of     </w:t>
      </w:r>
      <w:r>
        <w:rPr>
          <w:rFonts w:ascii="Cambria" w:eastAsia="Times New Roman" w:hAnsi="Cambria"/>
          <w:bCs/>
          <w:color w:val="000000"/>
          <w:sz w:val="24"/>
          <w:szCs w:val="24"/>
        </w:rPr>
        <w:tab/>
        <w:t xml:space="preserve">Confidential Communication Between a Public Body and Its Attorney Concerning a Pending </w:t>
      </w:r>
      <w:r>
        <w:rPr>
          <w:rFonts w:ascii="Cambria" w:eastAsia="Times New Roman" w:hAnsi="Cambria"/>
          <w:bCs/>
          <w:color w:val="000000"/>
          <w:sz w:val="24"/>
          <w:szCs w:val="24"/>
        </w:rPr>
        <w:tab/>
        <w:t xml:space="preserve">Investigation, Claim, or Action if the Public Body, with the Advice of Its Attorney, Determines </w:t>
      </w:r>
      <w:r>
        <w:rPr>
          <w:rFonts w:ascii="Cambria" w:eastAsia="Times New Roman" w:hAnsi="Cambria"/>
          <w:bCs/>
          <w:color w:val="000000"/>
          <w:sz w:val="24"/>
          <w:szCs w:val="24"/>
        </w:rPr>
        <w:tab/>
        <w:t xml:space="preserve">that Disclosure will Seriously Impair the Ability of the Public Body to Process the Claim or </w:t>
      </w:r>
      <w:r>
        <w:rPr>
          <w:rFonts w:ascii="Cambria" w:eastAsia="Times New Roman" w:hAnsi="Cambria"/>
          <w:bCs/>
          <w:color w:val="000000"/>
          <w:sz w:val="24"/>
          <w:szCs w:val="24"/>
        </w:rPr>
        <w:tab/>
        <w:t xml:space="preserve">Conduct a Pending Investigation, Litigation or Proceeding in the Public Interest Pursuant </w:t>
      </w:r>
      <w:r>
        <w:rPr>
          <w:rFonts w:ascii="Cambria" w:eastAsia="Times New Roman" w:hAnsi="Cambria"/>
          <w:bCs/>
          <w:color w:val="000000"/>
          <w:sz w:val="24"/>
          <w:szCs w:val="24"/>
        </w:rPr>
        <w:tab/>
        <w:t>to Title 25 O.S. Section 307.B.4.   (Bobby G. Warden vs. City of Grove Lawsuit; Case No. 13CV-</w:t>
      </w:r>
      <w:r>
        <w:rPr>
          <w:rFonts w:ascii="Cambria" w:eastAsia="Times New Roman" w:hAnsi="Cambria"/>
          <w:bCs/>
          <w:color w:val="000000"/>
          <w:sz w:val="24"/>
          <w:szCs w:val="24"/>
        </w:rPr>
        <w:tab/>
        <w:t>398CVE-PJC)</w:t>
      </w:r>
    </w:p>
    <w:p w:rsidR="009B5505" w:rsidRDefault="009B5505" w:rsidP="009B5505">
      <w:pPr>
        <w:tabs>
          <w:tab w:val="num" w:pos="1080"/>
        </w:tabs>
        <w:ind w:left="360"/>
        <w:jc w:val="both"/>
        <w:rPr>
          <w:rFonts w:ascii="Cambria" w:eastAsia="Times New Roman" w:hAnsi="Cambria"/>
          <w:bCs/>
          <w:color w:val="000000"/>
          <w:sz w:val="24"/>
          <w:szCs w:val="24"/>
        </w:rPr>
      </w:pPr>
      <w:r>
        <w:rPr>
          <w:rFonts w:ascii="Cambria" w:eastAsia="Times New Roman" w:hAnsi="Cambria"/>
          <w:bCs/>
          <w:color w:val="000000"/>
          <w:sz w:val="24"/>
          <w:szCs w:val="24"/>
        </w:rPr>
        <w:t xml:space="preserve">       2.</w:t>
      </w:r>
      <w:r>
        <w:rPr>
          <w:rFonts w:ascii="Cambria" w:eastAsia="Times New Roman" w:hAnsi="Cambria"/>
          <w:bCs/>
          <w:color w:val="000000"/>
          <w:sz w:val="24"/>
          <w:szCs w:val="24"/>
        </w:rPr>
        <w:tab/>
        <w:t>Discussion And/ Or Action regarding Agenda Item E.1.</w:t>
      </w:r>
    </w:p>
    <w:p w:rsidR="009B5505" w:rsidRDefault="009B5505" w:rsidP="009B5505">
      <w:pPr>
        <w:ind w:left="720"/>
        <w:jc w:val="both"/>
        <w:rPr>
          <w:rFonts w:ascii="Cambria" w:eastAsia="Times New Roman" w:hAnsi="Cambria"/>
          <w:bCs/>
          <w:color w:val="000000"/>
          <w:sz w:val="24"/>
          <w:szCs w:val="24"/>
        </w:rPr>
      </w:pPr>
    </w:p>
    <w:p w:rsidR="009B5505" w:rsidRDefault="009B5505" w:rsidP="009B5505">
      <w:pPr>
        <w:ind w:left="720" w:hanging="360"/>
        <w:jc w:val="both"/>
        <w:rPr>
          <w:rFonts w:ascii="Times New Roman" w:eastAsia="Times New Roman" w:hAnsi="Times New Roman"/>
          <w:bCs/>
          <w:color w:val="000000"/>
          <w:sz w:val="24"/>
          <w:szCs w:val="24"/>
        </w:rPr>
      </w:pPr>
      <w:r>
        <w:rPr>
          <w:rFonts w:ascii="Cambria" w:eastAsia="Times New Roman" w:hAnsi="Cambria"/>
          <w:bCs/>
          <w:color w:val="000000"/>
          <w:sz w:val="24"/>
          <w:szCs w:val="24"/>
        </w:rPr>
        <w:t>F.</w:t>
      </w:r>
      <w:r>
        <w:rPr>
          <w:rFonts w:ascii="Times New Roman" w:eastAsia="Times New Roman" w:hAnsi="Times New Roman"/>
          <w:bCs/>
          <w:color w:val="000000"/>
          <w:sz w:val="14"/>
        </w:rPr>
        <w:t xml:space="preserve">      </w:t>
      </w:r>
      <w:r>
        <w:rPr>
          <w:rFonts w:ascii="Times New Roman" w:eastAsia="Times New Roman" w:hAnsi="Times New Roman"/>
          <w:bCs/>
          <w:color w:val="000000"/>
          <w:sz w:val="24"/>
          <w:szCs w:val="24"/>
        </w:rPr>
        <w:t>Adjournment</w:t>
      </w:r>
    </w:p>
    <w:p w:rsidR="009B5505" w:rsidRDefault="009B5505" w:rsidP="009B5505">
      <w:pPr>
        <w:tabs>
          <w:tab w:val="left" w:pos="2910"/>
        </w:tabs>
        <w:jc w:val="both"/>
        <w:rPr>
          <w:rFonts w:ascii="Cambria" w:eastAsia="Times New Roman" w:hAnsi="Cambria"/>
          <w:bCs/>
          <w:color w:val="000000"/>
          <w:sz w:val="24"/>
          <w:szCs w:val="24"/>
        </w:rPr>
      </w:pPr>
      <w:r>
        <w:rPr>
          <w:rFonts w:ascii="Cambria" w:eastAsia="Times New Roman" w:hAnsi="Cambria"/>
          <w:bCs/>
          <w:color w:val="000000"/>
          <w:sz w:val="24"/>
          <w:szCs w:val="24"/>
        </w:rPr>
        <w:t> </w:t>
      </w:r>
      <w:r>
        <w:rPr>
          <w:rFonts w:ascii="Cambria" w:eastAsia="Times New Roman" w:hAnsi="Cambria"/>
          <w:bCs/>
          <w:color w:val="000000"/>
          <w:sz w:val="24"/>
          <w:szCs w:val="24"/>
        </w:rPr>
        <w:tab/>
      </w:r>
    </w:p>
    <w:p w:rsidR="009B5505" w:rsidRDefault="009B5505" w:rsidP="009B5505">
      <w:pPr>
        <w:ind w:left="360"/>
        <w:jc w:val="both"/>
        <w:rPr>
          <w:rFonts w:eastAsia="Times New Roman"/>
          <w:color w:val="000000"/>
          <w:sz w:val="24"/>
          <w:szCs w:val="24"/>
        </w:rPr>
      </w:pPr>
      <w:r>
        <w:rPr>
          <w:rFonts w:ascii="Cambria" w:eastAsia="Times New Roman" w:hAnsi="Cambria"/>
          <w:bCs/>
          <w:color w:val="000000"/>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395F90" w:rsidRDefault="00395F90"/>
    <w:sectPr w:rsidR="00395F90" w:rsidSect="00587AD4">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F0E" w:rsidRDefault="002F1F0E" w:rsidP="00D175B0">
      <w:r>
        <w:separator/>
      </w:r>
    </w:p>
  </w:endnote>
  <w:endnote w:type="continuationSeparator" w:id="0">
    <w:p w:rsidR="002F1F0E" w:rsidRDefault="002F1F0E" w:rsidP="00D175B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F0E" w:rsidRDefault="002F1F0E" w:rsidP="00D175B0">
      <w:r>
        <w:separator/>
      </w:r>
    </w:p>
  </w:footnote>
  <w:footnote w:type="continuationSeparator" w:id="0">
    <w:p w:rsidR="002F1F0E" w:rsidRDefault="002F1F0E" w:rsidP="00D17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B5505"/>
    <w:rsid w:val="000C3E7B"/>
    <w:rsid w:val="002B1CC3"/>
    <w:rsid w:val="002F1F0E"/>
    <w:rsid w:val="00320F1E"/>
    <w:rsid w:val="00337860"/>
    <w:rsid w:val="00395F90"/>
    <w:rsid w:val="00587AD4"/>
    <w:rsid w:val="005F72FA"/>
    <w:rsid w:val="0071503B"/>
    <w:rsid w:val="009B5505"/>
    <w:rsid w:val="00A74478"/>
    <w:rsid w:val="00D17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50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505"/>
    <w:pPr>
      <w:ind w:left="720"/>
      <w:contextualSpacing/>
    </w:pPr>
  </w:style>
  <w:style w:type="paragraph" w:styleId="Header">
    <w:name w:val="header"/>
    <w:basedOn w:val="Normal"/>
    <w:link w:val="HeaderChar"/>
    <w:uiPriority w:val="99"/>
    <w:semiHidden/>
    <w:unhideWhenUsed/>
    <w:rsid w:val="00D175B0"/>
    <w:pPr>
      <w:tabs>
        <w:tab w:val="center" w:pos="4680"/>
        <w:tab w:val="right" w:pos="9360"/>
      </w:tabs>
    </w:pPr>
  </w:style>
  <w:style w:type="character" w:customStyle="1" w:styleId="HeaderChar">
    <w:name w:val="Header Char"/>
    <w:basedOn w:val="DefaultParagraphFont"/>
    <w:link w:val="Header"/>
    <w:uiPriority w:val="99"/>
    <w:semiHidden/>
    <w:rsid w:val="00D175B0"/>
    <w:rPr>
      <w:rFonts w:ascii="Calibri" w:eastAsia="Calibri" w:hAnsi="Calibri" w:cs="Times New Roman"/>
    </w:rPr>
  </w:style>
  <w:style w:type="paragraph" w:styleId="Footer">
    <w:name w:val="footer"/>
    <w:basedOn w:val="Normal"/>
    <w:link w:val="FooterChar"/>
    <w:uiPriority w:val="99"/>
    <w:unhideWhenUsed/>
    <w:rsid w:val="00D175B0"/>
    <w:pPr>
      <w:tabs>
        <w:tab w:val="center" w:pos="4680"/>
        <w:tab w:val="right" w:pos="9360"/>
      </w:tabs>
    </w:pPr>
  </w:style>
  <w:style w:type="character" w:customStyle="1" w:styleId="FooterChar">
    <w:name w:val="Footer Char"/>
    <w:basedOn w:val="DefaultParagraphFont"/>
    <w:link w:val="Footer"/>
    <w:uiPriority w:val="99"/>
    <w:rsid w:val="00D175B0"/>
    <w:rPr>
      <w:rFonts w:ascii="Calibri" w:eastAsia="Calibri" w:hAnsi="Calibri" w:cs="Times New Roman"/>
    </w:rPr>
  </w:style>
  <w:style w:type="paragraph" w:styleId="BalloonText">
    <w:name w:val="Balloon Text"/>
    <w:basedOn w:val="Normal"/>
    <w:link w:val="BalloonTextChar"/>
    <w:uiPriority w:val="99"/>
    <w:semiHidden/>
    <w:unhideWhenUsed/>
    <w:rsid w:val="00D175B0"/>
    <w:rPr>
      <w:rFonts w:ascii="Tahoma" w:hAnsi="Tahoma" w:cs="Tahoma"/>
      <w:sz w:val="16"/>
      <w:szCs w:val="16"/>
    </w:rPr>
  </w:style>
  <w:style w:type="character" w:customStyle="1" w:styleId="BalloonTextChar">
    <w:name w:val="Balloon Text Char"/>
    <w:basedOn w:val="DefaultParagraphFont"/>
    <w:link w:val="BalloonText"/>
    <w:uiPriority w:val="99"/>
    <w:semiHidden/>
    <w:rsid w:val="00D175B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8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2014-02-18T20:08:00Z</cp:lastPrinted>
  <dcterms:created xsi:type="dcterms:W3CDTF">2014-02-14T14:38:00Z</dcterms:created>
  <dcterms:modified xsi:type="dcterms:W3CDTF">2014-02-18T20:12:00Z</dcterms:modified>
</cp:coreProperties>
</file>