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0E" w:rsidRDefault="008B6A0E" w:rsidP="008B6A0E">
      <w:pPr>
        <w:spacing w:after="0" w:line="240" w:lineRule="auto"/>
        <w:jc w:val="center"/>
        <w:rPr>
          <w:rFonts w:ascii="Cambria" w:hAnsi="Cambria"/>
          <w:sz w:val="24"/>
          <w:szCs w:val="24"/>
        </w:rPr>
      </w:pPr>
      <w:r>
        <w:rPr>
          <w:rFonts w:ascii="Cambria" w:hAnsi="Cambria"/>
          <w:sz w:val="24"/>
          <w:szCs w:val="24"/>
        </w:rPr>
        <w:t>GROVE CITY COUNCIL</w:t>
      </w:r>
    </w:p>
    <w:p w:rsidR="008B6A0E" w:rsidRDefault="008B6A0E" w:rsidP="008B6A0E">
      <w:pPr>
        <w:spacing w:after="0" w:line="240" w:lineRule="auto"/>
        <w:jc w:val="center"/>
        <w:rPr>
          <w:rFonts w:ascii="Cambria" w:hAnsi="Cambria"/>
          <w:sz w:val="24"/>
          <w:szCs w:val="24"/>
        </w:rPr>
      </w:pPr>
      <w:r>
        <w:rPr>
          <w:rFonts w:ascii="Cambria" w:hAnsi="Cambria"/>
          <w:sz w:val="24"/>
          <w:szCs w:val="24"/>
        </w:rPr>
        <w:t>REGULAR MEETING</w:t>
      </w:r>
    </w:p>
    <w:p w:rsidR="008B6A0E" w:rsidRDefault="008B6A0E" w:rsidP="008B6A0E">
      <w:pPr>
        <w:spacing w:after="0" w:line="240" w:lineRule="auto"/>
        <w:jc w:val="center"/>
        <w:rPr>
          <w:rFonts w:ascii="Cambria" w:hAnsi="Cambria"/>
          <w:sz w:val="24"/>
          <w:szCs w:val="24"/>
        </w:rPr>
      </w:pPr>
      <w:r>
        <w:rPr>
          <w:rFonts w:ascii="Cambria" w:hAnsi="Cambria"/>
          <w:sz w:val="24"/>
          <w:szCs w:val="24"/>
        </w:rPr>
        <w:t>TUESDAY, MAY 15, 2012</w:t>
      </w:r>
    </w:p>
    <w:p w:rsidR="008B6A0E" w:rsidRDefault="008B6A0E" w:rsidP="008B6A0E">
      <w:pPr>
        <w:spacing w:after="0" w:line="240" w:lineRule="auto"/>
        <w:jc w:val="center"/>
        <w:rPr>
          <w:rFonts w:ascii="Cambria" w:hAnsi="Cambria"/>
          <w:sz w:val="24"/>
          <w:szCs w:val="24"/>
        </w:rPr>
      </w:pPr>
      <w:r>
        <w:rPr>
          <w:rFonts w:ascii="Cambria" w:hAnsi="Cambria"/>
          <w:sz w:val="24"/>
          <w:szCs w:val="24"/>
        </w:rPr>
        <w:t>6:00 PM</w:t>
      </w:r>
    </w:p>
    <w:p w:rsidR="008B6A0E" w:rsidRDefault="008B6A0E" w:rsidP="008B6A0E">
      <w:pPr>
        <w:spacing w:after="0" w:line="240" w:lineRule="auto"/>
        <w:jc w:val="center"/>
        <w:rPr>
          <w:rFonts w:ascii="Cambria" w:hAnsi="Cambria"/>
          <w:sz w:val="24"/>
          <w:szCs w:val="24"/>
        </w:rPr>
      </w:pPr>
      <w:r>
        <w:rPr>
          <w:rFonts w:ascii="Cambria" w:hAnsi="Cambria"/>
          <w:sz w:val="24"/>
          <w:szCs w:val="24"/>
        </w:rPr>
        <w:t>ROOM 5 – GROVE COMMUNITY CENTER</w:t>
      </w:r>
    </w:p>
    <w:p w:rsidR="008B6A0E" w:rsidRDefault="008B6A0E" w:rsidP="008B6A0E">
      <w:pPr>
        <w:spacing w:after="0" w:line="240" w:lineRule="auto"/>
        <w:jc w:val="center"/>
        <w:rPr>
          <w:rFonts w:ascii="Cambria" w:hAnsi="Cambria"/>
          <w:sz w:val="24"/>
          <w:szCs w:val="24"/>
        </w:rPr>
      </w:pPr>
      <w:r>
        <w:rPr>
          <w:rFonts w:ascii="Cambria" w:hAnsi="Cambria"/>
          <w:sz w:val="24"/>
          <w:szCs w:val="24"/>
        </w:rPr>
        <w:t>104 WEST THIRD STREET – GROVE, OK 74344</w:t>
      </w:r>
    </w:p>
    <w:p w:rsidR="008B6A0E" w:rsidRDefault="008B6A0E" w:rsidP="008B6A0E">
      <w:pPr>
        <w:spacing w:after="0" w:line="240" w:lineRule="auto"/>
        <w:jc w:val="center"/>
        <w:rPr>
          <w:rFonts w:ascii="Cambria" w:hAnsi="Cambria"/>
          <w:sz w:val="24"/>
          <w:szCs w:val="24"/>
        </w:rPr>
      </w:pPr>
      <w:r>
        <w:rPr>
          <w:rFonts w:ascii="Cambria" w:hAnsi="Cambria"/>
          <w:sz w:val="24"/>
          <w:szCs w:val="24"/>
        </w:rPr>
        <w:t>AGENDA</w:t>
      </w:r>
    </w:p>
    <w:p w:rsidR="008B6A0E" w:rsidRDefault="008B6A0E" w:rsidP="008B6A0E">
      <w:pPr>
        <w:spacing w:after="0" w:line="240" w:lineRule="auto"/>
        <w:rPr>
          <w:rFonts w:ascii="Cambria" w:hAnsi="Cambria"/>
          <w:sz w:val="24"/>
          <w:szCs w:val="24"/>
        </w:rPr>
      </w:pPr>
    </w:p>
    <w:p w:rsidR="008B6A0E" w:rsidRDefault="008B6A0E" w:rsidP="008B6A0E">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8B6A0E" w:rsidRDefault="008B6A0E" w:rsidP="008B6A0E">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8B6A0E" w:rsidRDefault="008B6A0E" w:rsidP="008B6A0E">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8B6A0E" w:rsidRDefault="008B6A0E" w:rsidP="008B6A0E">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8B6A0E" w:rsidRDefault="008B6A0E" w:rsidP="008B6A0E">
      <w:pPr>
        <w:pStyle w:val="ListParagraph"/>
        <w:spacing w:after="0" w:line="240" w:lineRule="auto"/>
        <w:rPr>
          <w:rFonts w:ascii="Cambria" w:hAnsi="Cambria"/>
          <w:sz w:val="16"/>
          <w:szCs w:val="16"/>
        </w:rPr>
      </w:pPr>
    </w:p>
    <w:p w:rsidR="008B6A0E" w:rsidRDefault="008B6A0E" w:rsidP="008B6A0E">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8B6A0E" w:rsidRDefault="008B6A0E" w:rsidP="008B6A0E">
      <w:pPr>
        <w:pStyle w:val="ListParagraph"/>
        <w:numPr>
          <w:ilvl w:val="1"/>
          <w:numId w:val="2"/>
        </w:numPr>
        <w:spacing w:after="0" w:line="240" w:lineRule="auto"/>
        <w:rPr>
          <w:rFonts w:ascii="Cambria" w:hAnsi="Cambria"/>
          <w:sz w:val="24"/>
          <w:szCs w:val="24"/>
        </w:rPr>
      </w:pPr>
      <w:r>
        <w:rPr>
          <w:rFonts w:ascii="Cambria" w:hAnsi="Cambria"/>
          <w:sz w:val="24"/>
          <w:szCs w:val="24"/>
        </w:rPr>
        <w:t>Proclamation proclaiming the week of May 19-25, 2012 as ‘National Safe Boating Week’.</w:t>
      </w:r>
    </w:p>
    <w:p w:rsidR="008B6A0E" w:rsidRDefault="008B6A0E" w:rsidP="008B6A0E">
      <w:pPr>
        <w:pStyle w:val="ListParagraph"/>
        <w:numPr>
          <w:ilvl w:val="1"/>
          <w:numId w:val="2"/>
        </w:numPr>
        <w:spacing w:after="0" w:line="240" w:lineRule="auto"/>
        <w:rPr>
          <w:rFonts w:ascii="Cambria" w:hAnsi="Cambria"/>
          <w:sz w:val="24"/>
          <w:szCs w:val="24"/>
        </w:rPr>
      </w:pPr>
      <w:r>
        <w:rPr>
          <w:rFonts w:ascii="Cambria" w:hAnsi="Cambria"/>
          <w:sz w:val="24"/>
          <w:szCs w:val="24"/>
        </w:rPr>
        <w:t>Public discussion with respect to the City of Grove’s and all Trusts’ to which the City of Grove is a beneficiary budgets for Fiscal Year 2012-2013.</w:t>
      </w:r>
    </w:p>
    <w:p w:rsidR="008B6A0E" w:rsidRDefault="008B6A0E" w:rsidP="008B6A0E">
      <w:pPr>
        <w:pStyle w:val="ListParagraph"/>
        <w:spacing w:after="0" w:line="240" w:lineRule="auto"/>
        <w:ind w:left="1080"/>
        <w:rPr>
          <w:rFonts w:ascii="Cambria" w:hAnsi="Cambria"/>
          <w:sz w:val="24"/>
          <w:szCs w:val="24"/>
        </w:rPr>
      </w:pPr>
    </w:p>
    <w:p w:rsidR="008B6A0E" w:rsidRDefault="008B6A0E" w:rsidP="008B6A0E">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Contract for Sale and Purchase of Real Property by and between the City of Grove, Oklahoma and Grandwood Assisted Living Facility, LLC, Grand Lake Sunrise Village, LC, Grand Investsments, L.L.C., et al.</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Financing for Public/Boating/Fishing Access Facility.</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 Fiscal Year 2011-1012 Fiscal Year Budget.</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Economic Development Agreement between the City of Grove and Delaware County, Oklahoma.</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Supporting Rural Housing, LP affordable housing tax credit application to the Oklahoma Housing Finance Agency to rehabilitate a 98 unit housing development located at 400 Mill Creek, Grove, OK aka Garden Walk I, II, and III.</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an Ordinance repealing and replacing Part 4, Chapter1: Animal Regulations of the Code of Ordinance of the City of Grove, Oklahoma.  </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an Ordinance amending Part 8, Chapter 2 – Section 8-203.A: Abatement Procedures and Section 8-206.B Abatement Costs of the Code of Ordinances of the City of Grove, Oklahoma and declaring and emergency. </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lastRenderedPageBreak/>
        <w:t>Discussion and / or action with respect to an Ordinance amending Part 9 , Chapter 6: Peddlers, Solicitors and Outdoor Sellers – Sections 9-616, 9-</w:t>
      </w:r>
      <w:r>
        <w:rPr>
          <w:rFonts w:ascii="Cambria" w:hAnsi="Cambria" w:cs="Calibri"/>
          <w:sz w:val="24"/>
          <w:szCs w:val="24"/>
        </w:rPr>
        <w:t>632, 9-641, 9-655, 9-671, and 9-681 of the Code of Ordinances of the City of Grove, Oklahoma.</w:t>
      </w:r>
      <w:r>
        <w:rPr>
          <w:rFonts w:ascii="Cambria" w:hAnsi="Cambria" w:cs="Calibri"/>
        </w:rPr>
        <w:t xml:space="preserve"> </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an Ordinance amending Part 10: Offenses and Crimes Against the Public – Chapter 3, Section 10-909: Amplified Sound, Loud Noise or Music Prohibited of the Code of Ordinances Of the City of Grove, Oklahoma. </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Election of Trustees to the Oklahoma Mutual Assurance Group Board of Trustees.</w:t>
      </w:r>
    </w:p>
    <w:p w:rsidR="008B6A0E" w:rsidRDefault="008B6A0E" w:rsidP="008B6A0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the bids received for mowing and clean-up of code violation properties located with the city limits as per the Code Enforcement Officer. </w:t>
      </w:r>
    </w:p>
    <w:p w:rsidR="008B6A0E" w:rsidRDefault="008B6A0E" w:rsidP="008B6A0E">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for authorization to bid for gasoline and diesel fuel for the Fiscal Year 2012/2013.</w:t>
      </w:r>
    </w:p>
    <w:p w:rsidR="008B6A0E" w:rsidRDefault="008B6A0E" w:rsidP="008B6A0E">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for authorization to bid for limestone base rock (per ton) and other filled materials for the Fiscal Year 2012/2013.</w:t>
      </w:r>
    </w:p>
    <w:p w:rsidR="008B6A0E" w:rsidRDefault="008B6A0E" w:rsidP="008B6A0E">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for authorization to bid for asphaltic materials for the first half of the fiscal year beginning July 1, 2012 and ending December 31, 2012.</w:t>
      </w:r>
    </w:p>
    <w:p w:rsidR="008B6A0E" w:rsidRDefault="008B6A0E" w:rsidP="008B6A0E">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surplus of vehicle, 2003 Ford Crown Victoria, VIN #2FAHP71W33X222067.</w:t>
      </w:r>
    </w:p>
    <w:p w:rsidR="008B6A0E" w:rsidRDefault="008B6A0E" w:rsidP="008B6A0E">
      <w:pPr>
        <w:spacing w:after="0" w:line="240" w:lineRule="auto"/>
        <w:jc w:val="both"/>
        <w:rPr>
          <w:rFonts w:ascii="Cambria" w:hAnsi="Cambria"/>
          <w:sz w:val="24"/>
          <w:szCs w:val="24"/>
        </w:rPr>
      </w:pPr>
    </w:p>
    <w:p w:rsidR="008B6A0E" w:rsidRDefault="008B6A0E" w:rsidP="008B6A0E">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8B6A0E" w:rsidRDefault="008B6A0E" w:rsidP="008B6A0E">
      <w:pPr>
        <w:pStyle w:val="ListParagraph"/>
        <w:spacing w:after="0" w:line="240" w:lineRule="auto"/>
        <w:jc w:val="both"/>
        <w:rPr>
          <w:rFonts w:ascii="Cambria" w:hAnsi="Cambria"/>
          <w:sz w:val="24"/>
          <w:szCs w:val="24"/>
        </w:rPr>
      </w:pPr>
    </w:p>
    <w:p w:rsidR="008B6A0E" w:rsidRDefault="008B6A0E" w:rsidP="008B6A0E">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8B6A0E" w:rsidRDefault="008B6A0E" w:rsidP="008B6A0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8B6A0E" w:rsidRDefault="008B6A0E" w:rsidP="008B6A0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8B6A0E" w:rsidRDefault="008B6A0E" w:rsidP="008B6A0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8B6A0E" w:rsidRDefault="008B6A0E" w:rsidP="008B6A0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8B6A0E" w:rsidRDefault="008B6A0E" w:rsidP="008B6A0E">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8B6A0E" w:rsidRDefault="008B6A0E" w:rsidP="008B6A0E">
      <w:pPr>
        <w:spacing w:after="0" w:line="240" w:lineRule="auto"/>
        <w:jc w:val="both"/>
        <w:rPr>
          <w:rFonts w:ascii="Cambria" w:hAnsi="Cambria"/>
          <w:sz w:val="24"/>
          <w:szCs w:val="24"/>
        </w:rPr>
      </w:pPr>
    </w:p>
    <w:p w:rsidR="008B6A0E" w:rsidRDefault="008B6A0E" w:rsidP="008B6A0E">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8B6A0E" w:rsidRDefault="008B6A0E" w:rsidP="008B6A0E">
      <w:pPr>
        <w:pStyle w:val="BodyText2"/>
        <w:ind w:left="0" w:firstLine="0"/>
        <w:rPr>
          <w:rFonts w:ascii="Cambria" w:hAnsi="Cambria"/>
          <w:sz w:val="24"/>
        </w:rPr>
      </w:pPr>
    </w:p>
    <w:p w:rsidR="008B6A0E" w:rsidRDefault="008B6A0E" w:rsidP="008B6A0E">
      <w:pPr>
        <w:pStyle w:val="BodyText2"/>
        <w:ind w:left="0" w:firstLine="0"/>
        <w:rPr>
          <w:rFonts w:ascii="Cambria" w:hAnsi="Cambria"/>
          <w:sz w:val="24"/>
        </w:rPr>
      </w:pPr>
    </w:p>
    <w:p w:rsidR="008B6A0E" w:rsidRDefault="008B6A0E" w:rsidP="008B6A0E">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8B6A0E" w:rsidRDefault="008B6A0E" w:rsidP="008B6A0E"/>
    <w:p w:rsidR="002B42CF" w:rsidRDefault="002B42CF"/>
    <w:sectPr w:rsidR="002B42CF" w:rsidSect="002B42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B6A0E"/>
    <w:rsid w:val="002B42CF"/>
    <w:rsid w:val="008B6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B6A0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8B6A0E"/>
    <w:rPr>
      <w:rFonts w:ascii="Times New Roman" w:eastAsia="Times New Roman" w:hAnsi="Times New Roman" w:cs="Times New Roman"/>
      <w:sz w:val="20"/>
      <w:szCs w:val="24"/>
    </w:rPr>
  </w:style>
  <w:style w:type="paragraph" w:styleId="ListParagraph">
    <w:name w:val="List Paragraph"/>
    <w:basedOn w:val="Normal"/>
    <w:uiPriority w:val="34"/>
    <w:qFormat/>
    <w:rsid w:val="008B6A0E"/>
    <w:pPr>
      <w:ind w:left="720"/>
      <w:contextualSpacing/>
    </w:pPr>
  </w:style>
</w:styles>
</file>

<file path=word/webSettings.xml><?xml version="1.0" encoding="utf-8"?>
<w:webSettings xmlns:r="http://schemas.openxmlformats.org/officeDocument/2006/relationships" xmlns:w="http://schemas.openxmlformats.org/wordprocessingml/2006/main">
  <w:divs>
    <w:div w:id="13864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2012-05-11T17:50:00Z</dcterms:created>
  <dcterms:modified xsi:type="dcterms:W3CDTF">2012-05-11T17:51:00Z</dcterms:modified>
</cp:coreProperties>
</file>